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09" w:rsidRDefault="00527C10" w:rsidP="00B06409">
      <w:pPr>
        <w:pStyle w:val="Titre1"/>
      </w:pPr>
      <w:r>
        <w:fldChar w:fldCharType="begin"/>
      </w:r>
      <w:r>
        <w:instrText xml:space="preserve"> HYPERLINK "http://www.linternaute.com/femmes/cuisine/recette/326228/1095072404/coeur_moelleux.shtml" </w:instrText>
      </w:r>
      <w:r>
        <w:fldChar w:fldCharType="separate"/>
      </w:r>
      <w:proofErr w:type="spellStart"/>
      <w:r w:rsidR="00B06409">
        <w:rPr>
          <w:rStyle w:val="Lienhypertexte"/>
        </w:rPr>
        <w:t>Coeur</w:t>
      </w:r>
      <w:proofErr w:type="spellEnd"/>
      <w:r w:rsidR="00B06409">
        <w:rPr>
          <w:rStyle w:val="Lienhypertexte"/>
        </w:rPr>
        <w:t xml:space="preserve"> moelleux</w:t>
      </w:r>
      <w:r>
        <w:rPr>
          <w:rStyle w:val="Lienhypertexte"/>
        </w:rPr>
        <w:fldChar w:fldCharType="end"/>
      </w:r>
      <w:r w:rsidR="00B06409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B0640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B064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6409" w:rsidRDefault="00B0640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6409" w:rsidRDefault="00B06409"/>
              </w:tc>
              <w:tc>
                <w:tcPr>
                  <w:tcW w:w="0" w:type="auto"/>
                  <w:vAlign w:val="center"/>
                </w:tcPr>
                <w:p w:rsidR="00B06409" w:rsidRDefault="00B0640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6409" w:rsidRDefault="00B06409"/>
              </w:tc>
              <w:tc>
                <w:tcPr>
                  <w:tcW w:w="0" w:type="auto"/>
                  <w:vAlign w:val="center"/>
                </w:tcPr>
                <w:p w:rsidR="00B06409" w:rsidRDefault="00B0640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6409" w:rsidRDefault="00B06409"/>
              </w:tc>
              <w:tc>
                <w:tcPr>
                  <w:tcW w:w="0" w:type="auto"/>
                  <w:vAlign w:val="center"/>
                </w:tcPr>
                <w:p w:rsidR="00B06409" w:rsidRDefault="00B06409"/>
              </w:tc>
            </w:tr>
          </w:tbl>
          <w:p w:rsidR="00B06409" w:rsidRDefault="00B06409"/>
        </w:tc>
      </w:tr>
      <w:tr w:rsidR="00B0640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33"/>
              <w:gridCol w:w="144"/>
              <w:gridCol w:w="4489"/>
            </w:tblGrid>
            <w:tr w:rsidR="00B06409">
              <w:trPr>
                <w:tblCellSpacing w:w="0" w:type="dxa"/>
              </w:trPr>
              <w:tc>
                <w:tcPr>
                  <w:tcW w:w="2250" w:type="dxa"/>
                </w:tcPr>
                <w:p w:rsidR="00527C10" w:rsidRDefault="00141740" w:rsidP="00527C10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704014" cy="2847975"/>
                        <wp:effectExtent l="0" t="0" r="0" b="0"/>
                        <wp:docPr id="1" name="Image 1" descr="Coeur moelleux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eur moelleu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285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7C10">
                    <w:t xml:space="preserve"> </w:t>
                  </w:r>
                </w:p>
                <w:p w:rsidR="00B06409" w:rsidRDefault="00B06409" w:rsidP="00B06409"/>
              </w:tc>
              <w:tc>
                <w:tcPr>
                  <w:tcW w:w="144" w:type="dxa"/>
                </w:tcPr>
                <w:p w:rsidR="00B06409" w:rsidRDefault="00B06409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9"/>
                  </w:tblGrid>
                  <w:tr w:rsidR="00B0640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B0640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06409" w:rsidRDefault="00B06409">
                              <w: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06409" w:rsidRDefault="00B06409" w:rsidP="00B06409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06409" w:rsidRDefault="00B06409"/>
                          </w:tc>
                        </w:tr>
                      </w:tbl>
                      <w:p w:rsidR="00B06409" w:rsidRDefault="00B06409"/>
                    </w:tc>
                  </w:tr>
                  <w:tr w:rsidR="00B064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06409" w:rsidRDefault="00B06409" w:rsidP="00527C10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B06409" w:rsidRDefault="00B06409"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2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1 yaourt (saveur banane ou nature)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70 g"/>
                    </w:smartTagPr>
                    <w:r>
                      <w:t>70 g</w:t>
                    </w:r>
                  </w:smartTag>
                  <w:r>
                    <w:t xml:space="preserve"> 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>
                      <w:t>80 g</w:t>
                    </w:r>
                  </w:smartTag>
                  <w:r>
                    <w:t xml:space="preserve"> de sucre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1 sachet de levure chimique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1 sachet de sucre vanillé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1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banane</w:t>
                    </w:r>
                  </w:hyperlink>
                  <w:r>
                    <w:t xml:space="preserve"> bien mûre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5 cl d'huile neutre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90 g"/>
                    </w:smartTagPr>
                    <w:r>
                      <w:t>90 g</w:t>
                    </w:r>
                  </w:smartTag>
                  <w:r>
                    <w:t xml:space="preserve"> de farine (environ) </w:t>
                  </w:r>
                </w:p>
                <w:p w:rsidR="00527C10" w:rsidRDefault="00527C10"/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r w:rsidRPr="00527C10">
                    <w:rPr>
                      <w:b/>
                      <w:color w:val="FF0000"/>
                    </w:rPr>
                    <w:t>Pour le coulis de caramel :</w:t>
                  </w:r>
                  <w:r>
                    <w:t xml:space="preserve">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>
                      <w:t>150 g</w:t>
                    </w:r>
                  </w:smartTag>
                  <w:r>
                    <w:t xml:space="preserve"> de sucre semoule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4 cuillères à soupe d'eau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de beurre salé fondu </w:t>
                  </w:r>
                </w:p>
                <w:p w:rsidR="00B06409" w:rsidRDefault="00B06409">
                  <w:r>
                    <w:rPr>
                      <w:rFonts w:hAnsi="Symbol"/>
                    </w:rPr>
                    <w:t></w:t>
                  </w:r>
                  <w:r>
                    <w:t xml:space="preserve">  20 cl de crème liquide allégée </w:t>
                  </w:r>
                </w:p>
              </w:tc>
            </w:tr>
          </w:tbl>
          <w:p w:rsidR="00B06409" w:rsidRDefault="00B06409"/>
        </w:tc>
      </w:tr>
      <w:tr w:rsidR="00B0640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B06409" w:rsidRDefault="00B06409" w:rsidP="00527C1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B0640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0385"/>
            </w:tblGrid>
            <w:tr w:rsidR="00B06409" w:rsidTr="00527C10">
              <w:trPr>
                <w:tblCellSpacing w:w="15" w:type="dxa"/>
              </w:trPr>
              <w:tc>
                <w:tcPr>
                  <w:tcW w:w="36" w:type="dxa"/>
                </w:tcPr>
                <w:p w:rsidR="00B06409" w:rsidRDefault="00B06409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06409" w:rsidRDefault="00B0640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A l'aide d'un batteur électrique, battez les </w:t>
                  </w:r>
                  <w:r w:rsidR="00527C10">
                    <w:t>œufs</w:t>
                  </w:r>
                  <w:r>
                    <w:t xml:space="preserve"> avec le sucre et le sucre vanillé, jusqu'à ce qu'ils deviennent mousseux, ajoutez le yaourt, battez, ajoutez l'huile et mélangez. Ajoutez la levure et la farine petit à petit jusqu'à l'obtention d'une pâte homogène (comme la pâte des cakes et génoises). Ecrasez la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banane</w:t>
                    </w:r>
                  </w:hyperlink>
                  <w:r>
                    <w:t xml:space="preserve"> à l'aide d'une fourchette et ajoutez-la au mélange précédent. Versez la préparation dans deux (ou 3) petits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en forme de </w:t>
                  </w:r>
                  <w:r w:rsidR="00527C10">
                    <w:t>cœur</w:t>
                  </w:r>
                  <w:bookmarkStart w:id="0" w:name="_GoBack"/>
                  <w:bookmarkEnd w:id="0"/>
                  <w:r>
                    <w:t xml:space="preserve">. Mettez dans un four préchauffé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 pendant 15 minutes environ. </w:t>
                  </w:r>
                </w:p>
              </w:tc>
            </w:tr>
            <w:tr w:rsidR="00B06409" w:rsidTr="00527C10">
              <w:trPr>
                <w:tblCellSpacing w:w="15" w:type="dxa"/>
              </w:trPr>
              <w:tc>
                <w:tcPr>
                  <w:tcW w:w="36" w:type="dxa"/>
                </w:tcPr>
                <w:p w:rsidR="00B06409" w:rsidRDefault="00B06409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06409" w:rsidRDefault="00B0640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Pendant ce temps préparez le caramel : mélangez le sucre et l'eau, laissez caraméliser à feu moyen sans remuez. Dès que le caramel prend une couleur brune, retirez du feu et incorporez la crème liquide (tiède) petit à petit en remuant. Ajoutez enfin le beurre fondu et mélangez, vous obtenez un coulis de caramel bien doré. </w:t>
                  </w:r>
                </w:p>
              </w:tc>
            </w:tr>
            <w:tr w:rsidR="00B06409" w:rsidTr="00527C10">
              <w:trPr>
                <w:tblCellSpacing w:w="15" w:type="dxa"/>
              </w:trPr>
              <w:tc>
                <w:tcPr>
                  <w:tcW w:w="36" w:type="dxa"/>
                </w:tcPr>
                <w:p w:rsidR="00B06409" w:rsidRDefault="00B06409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06409" w:rsidRDefault="00B0640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Dès que le gâteau est cuit, sortez le du four et laissez-le refroidir avant de le démouler. Versez le caramel sur le gâteau et </w:t>
                  </w:r>
                  <w:r w:rsidR="00527C10">
                    <w:t>dégustez</w:t>
                  </w:r>
                  <w:r>
                    <w:t xml:space="preserve">-le tiède ou à température ambiante. </w:t>
                  </w:r>
                </w:p>
              </w:tc>
            </w:tr>
          </w:tbl>
          <w:p w:rsidR="00B06409" w:rsidRDefault="00B06409">
            <w:pPr>
              <w:ind w:left="720"/>
            </w:pPr>
          </w:p>
        </w:tc>
      </w:tr>
      <w:tr w:rsidR="00B0640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B0640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06409" w:rsidRDefault="00B06409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remplacer le caramel par une ganache au chocolat, c'est pas mal non plus.</w:t>
                  </w:r>
                </w:p>
              </w:tc>
            </w:tr>
          </w:tbl>
          <w:p w:rsidR="00B06409" w:rsidRDefault="00B06409"/>
        </w:tc>
      </w:tr>
      <w:tr w:rsidR="00B064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6409" w:rsidRDefault="00B06409"/>
        </w:tc>
      </w:tr>
    </w:tbl>
    <w:p w:rsidR="00035A1B" w:rsidRDefault="00035A1B"/>
    <w:sectPr w:rsidR="00035A1B" w:rsidSect="00527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B62"/>
    <w:multiLevelType w:val="multilevel"/>
    <w:tmpl w:val="AC12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06409"/>
    <w:rsid w:val="00035A1B"/>
    <w:rsid w:val="00141740"/>
    <w:rsid w:val="00527C10"/>
    <w:rsid w:val="00B06409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B064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B06409"/>
    <w:rPr>
      <w:b/>
      <w:bCs/>
    </w:rPr>
  </w:style>
  <w:style w:type="character" w:styleId="Lienhypertexte">
    <w:name w:val="Hyperlink"/>
    <w:basedOn w:val="Policepardfaut"/>
    <w:rsid w:val="00B0640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27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7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9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2/banan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26228/1095072404/coeur_moelleux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132/banan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Coeur moelleux  </vt:lpstr>
    </vt:vector>
  </TitlesOfParts>
  <Company>LSD Corp</Company>
  <LinksUpToDate>false</LinksUpToDate>
  <CharactersWithSpaces>2117</CharactersWithSpaces>
  <SharedDoc>false</SharedDoc>
  <HLinks>
    <vt:vector size="72" baseType="variant">
      <vt:variant>
        <vt:i4>1703981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7208989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7208989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3080285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http://www.linternaute.com/femmes/cuisine/personne/6198778/1312779471/1/hanane_liagre.shtml</vt:lpwstr>
      </vt:variant>
      <vt:variant>
        <vt:lpwstr/>
      </vt:variant>
      <vt:variant>
        <vt:i4>589930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http://copainsdavant.linternaute.com/membre/6198778/1312779471/hanane_liagre.shtml</vt:lpwstr>
      </vt:variant>
      <vt:variant>
        <vt:lpwstr/>
      </vt:variant>
      <vt:variant>
        <vt:i4>7405615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javascript:openWindow('/cgi/recette/image.php?f_id_recette=326228&amp;f_cle_recette=1095072404');</vt:lpwstr>
      </vt:variant>
      <vt:variant>
        <vt:lpwstr/>
      </vt:variant>
      <vt:variant>
        <vt:i4>8126557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http://www.linternaute.com/femmes/cuisine/recette/326228/1095072404/coeur_moelleux.shtml</vt:lpwstr>
      </vt:variant>
      <vt:variant>
        <vt:lpwstr/>
      </vt:variant>
      <vt:variant>
        <vt:i4>5439502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http://www.linternaute.com/femmes/cuisine/cgi/livrerecette/annotation_recette.php?f_id_recette=326228&amp;f_type=a</vt:lpwstr>
      </vt:variant>
      <vt:variant>
        <vt:lpwstr/>
      </vt:variant>
      <vt:variant>
        <vt:i4>7012358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http://www.linternaute.com/femmes/cuisine/cgi/avis/depose_avis.php?f_id_recette=326228</vt:lpwstr>
      </vt:variant>
      <vt:variant>
        <vt:lpwstr/>
      </vt:variant>
      <vt:variant>
        <vt:i4>4587554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http://www.linternaute.com/femmes/cuisine/cgi/mail/envoyer_recette.php?f_id_recette=326228</vt:lpwstr>
      </vt:variant>
      <vt:variant>
        <vt:lpwstr/>
      </vt:variant>
      <vt:variant>
        <vt:i4>7405670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javascript:openWindow('/cgi/recette/imprimer.php?f_id_recette=326228&amp;f_cle_recette=1095072404');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http://www.linternaute.com/femmes/cuisine/recette/326228/1095072404/coeur_moelleux.shtml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Coeur moelleux</dc:title>
  <dc:creator>LSD Ghost</dc:creator>
  <cp:lastModifiedBy>MILLION Sylviane</cp:lastModifiedBy>
  <cp:revision>3</cp:revision>
  <dcterms:created xsi:type="dcterms:W3CDTF">2014-05-10T17:04:00Z</dcterms:created>
  <dcterms:modified xsi:type="dcterms:W3CDTF">2014-05-12T05:36:00Z</dcterms:modified>
</cp:coreProperties>
</file>